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DB597C" w:rsidP="00377515">
      <w:pPr>
        <w:spacing w:after="0" w:line="240" w:lineRule="auto"/>
        <w:ind w:hanging="42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0C4" w:rsidRPr="007C31CE" w:rsidRDefault="00D270C4" w:rsidP="00D270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D270C4" w:rsidRPr="007C31CE" w:rsidRDefault="00D270C4" w:rsidP="00D270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270C4" w:rsidRPr="007C31CE" w:rsidRDefault="00D270C4" w:rsidP="00D270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270C4" w:rsidRPr="007C31CE" w:rsidRDefault="00D270C4" w:rsidP="00D270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«____»  _______________20__ г.</w:t>
      </w:r>
    </w:p>
    <w:p w:rsidR="00D270C4" w:rsidRPr="007C31CE" w:rsidRDefault="00D270C4" w:rsidP="00D270C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D270C4" w:rsidRPr="007C31CE" w:rsidRDefault="00D270C4" w:rsidP="00D270C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D270C4" w:rsidRPr="007C31CE" w:rsidRDefault="00D270C4" w:rsidP="00D270C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08386C" w:rsidRDefault="0008386C" w:rsidP="00083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8386C" w:rsidRDefault="0008386C" w:rsidP="0008386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D270C4" w:rsidRPr="00A27972" w:rsidRDefault="00D270C4" w:rsidP="00D270C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D270C4" w:rsidRPr="00A27972" w:rsidRDefault="00D270C4" w:rsidP="00D270C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D270C4" w:rsidRPr="00A27972" w:rsidRDefault="00D270C4" w:rsidP="00D270C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270C4" w:rsidRPr="00A27972" w:rsidRDefault="00D270C4" w:rsidP="00D270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70C4" w:rsidRPr="00A27972" w:rsidRDefault="004A65D7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="00D270C4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D270C4"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D270C4"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D270C4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="00D270C4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270C4" w:rsidRPr="002A20F2" w:rsidRDefault="00D270C4" w:rsidP="00D270C4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4A65D7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A65D7" w:rsidRDefault="004A65D7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4A65D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</w:t>
      </w:r>
      <w:r w:rsidR="004E496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D270C4" w:rsidRPr="00A27972" w:rsidTr="0033598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D270C4" w:rsidRPr="00A27972" w:rsidTr="0033598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270C4" w:rsidRPr="00A27972" w:rsidTr="00335986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270C4" w:rsidRPr="00A27972" w:rsidTr="0033598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D270C4" w:rsidRPr="00A27972" w:rsidTr="0033598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0C4" w:rsidRPr="00A27972" w:rsidTr="0033598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270C4" w:rsidRPr="00A27972" w:rsidTr="0033598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70C4" w:rsidRPr="00A27972" w:rsidRDefault="00D270C4" w:rsidP="003359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0C4" w:rsidRPr="00A27972" w:rsidRDefault="004E4969" w:rsidP="0033598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D270C4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270C4" w:rsidRPr="00A27972" w:rsidRDefault="00D270C4" w:rsidP="00D270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A65D7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270C4" w:rsidRDefault="00D270C4" w:rsidP="00D270C4">
      <w:pPr>
        <w:numPr>
          <w:ilvl w:val="0"/>
          <w:numId w:val="3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D270C4" w:rsidRDefault="00D270C4" w:rsidP="00D270C4">
      <w:pPr>
        <w:numPr>
          <w:ilvl w:val="0"/>
          <w:numId w:val="3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D270C4" w:rsidRPr="00495C5E" w:rsidRDefault="00D270C4" w:rsidP="00495C5E">
      <w:pPr>
        <w:pStyle w:val="a4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D270C4" w:rsidRPr="00A27972" w:rsidRDefault="00D270C4" w:rsidP="00D270C4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270C4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доцент </w:t>
      </w:r>
      <w:r w:rsidR="004A65D7">
        <w:rPr>
          <w:rFonts w:ascii="Times New Roman" w:eastAsia="Times New Roman" w:hAnsi="Times New Roman"/>
          <w:sz w:val="24"/>
          <w:lang w:eastAsia="ru-RU"/>
        </w:rPr>
        <w:t xml:space="preserve">кафедры ДПИ и дизайна </w:t>
      </w:r>
      <w:r>
        <w:rPr>
          <w:rFonts w:ascii="Times New Roman" w:eastAsia="Times New Roman" w:hAnsi="Times New Roman"/>
          <w:sz w:val="24"/>
          <w:lang w:eastAsia="ru-RU"/>
        </w:rPr>
        <w:t>А.Г.Копий</w:t>
      </w: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BF38E5" w:rsidRDefault="00D270C4" w:rsidP="00D270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D270C4" w:rsidRPr="00BF38E5" w:rsidRDefault="00D270C4" w:rsidP="00D270C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0C4" w:rsidRPr="00A27972" w:rsidRDefault="00D270C4" w:rsidP="00D270C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270C4" w:rsidRDefault="00D270C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16010F" w:rsidRPr="002636DF" w:rsidRDefault="00DB597C" w:rsidP="0016010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16010F" w:rsidRPr="002636DF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16010F" w:rsidRPr="00DB597C" w:rsidRDefault="0016010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E82F4C" w:rsidRDefault="00755A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факультативы</w:t>
      </w:r>
      <w:r w:rsidR="00945DBB" w:rsidRPr="00E82F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Обучающийся должен владеть базовыми навыками самостоятельной работы на компьютере.</w:t>
      </w:r>
    </w:p>
    <w:p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3D132B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 </w:t>
      </w:r>
      <w:r>
        <w:rPr>
          <w:rFonts w:ascii="Times New Roman" w:hAnsi="Times New Roman"/>
          <w:sz w:val="24"/>
          <w:szCs w:val="24"/>
        </w:rPr>
        <w:t>модулей «Человек, общество, культура», «Основы научных знаний».</w:t>
      </w:r>
    </w:p>
    <w:p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D546EF" w:rsidRDefault="00D546EF" w:rsidP="00D546E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546EF" w:rsidRPr="00945DBB" w:rsidRDefault="00D546EF" w:rsidP="00945DB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 xml:space="preserve">УК-6: </w:t>
      </w:r>
      <w:r w:rsidRPr="00D546EF">
        <w:rPr>
          <w:rFonts w:ascii="Times New Roman" w:eastAsia="Times New Roman" w:hAnsi="Times New Roman"/>
          <w:sz w:val="24"/>
          <w:szCs w:val="24"/>
          <w:lang w:eastAsia="ru-RU"/>
        </w:rPr>
        <w:t>Способен управлять своим временем, выстраивать и реализовывать траекторию саморазвития на основе принципов самообразования в течение всей жизни</w:t>
      </w:r>
      <w:r w:rsidR="00945DBB" w:rsidRPr="00945D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46EF" w:rsidRPr="00D546EF" w:rsidRDefault="00D546EF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D546EF" w:rsidRPr="00945DBB" w:rsidRDefault="00945DBB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5DBB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образования.</w:t>
      </w:r>
    </w:p>
    <w:p w:rsidR="00C94EAD" w:rsidRDefault="00663200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19"/>
        <w:gridCol w:w="2889"/>
        <w:gridCol w:w="1804"/>
        <w:gridCol w:w="3142"/>
      </w:tblGrid>
      <w:tr w:rsidR="00663200" w:rsidRPr="00DB597C" w:rsidTr="00D546EF">
        <w:trPr>
          <w:trHeight w:val="385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D5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D546EF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63200" w:rsidRPr="00DB597C" w:rsidTr="00D546EF">
        <w:trPr>
          <w:trHeight w:val="331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96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приёмами саморазвития и самореализации в профессионально-педагогической сфере деятельности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0B93" w:rsidRPr="00945DBB" w:rsidRDefault="00945D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</w:t>
            </w:r>
            <w:r w:rsidR="00E82F4C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D135D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Практическое задание</w:t>
            </w:r>
          </w:p>
          <w:p w:rsidR="00D135D6" w:rsidRPr="00DB597C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</w:tc>
      </w:tr>
    </w:tbl>
    <w:p w:rsidR="00085193" w:rsidRDefault="00085193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1275"/>
        <w:gridCol w:w="851"/>
        <w:gridCol w:w="992"/>
      </w:tblGrid>
      <w:tr w:rsidR="00D217FB" w:rsidRPr="00B10048" w:rsidTr="00990D0F">
        <w:tc>
          <w:tcPr>
            <w:tcW w:w="4962" w:type="dxa"/>
            <w:vMerge w:val="restart"/>
            <w:tcBorders>
              <w:right w:val="single" w:sz="4" w:space="0" w:color="auto"/>
            </w:tcBorders>
            <w:vAlign w:val="center"/>
          </w:tcPr>
          <w:p w:rsidR="00D217FB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</w:tcPr>
          <w:p w:rsidR="00D217FB" w:rsidRPr="00517C31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D5974" w:rsidRPr="00B10048" w:rsidTr="00990D0F">
        <w:trPr>
          <w:trHeight w:val="224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974" w:rsidRPr="00DB597C" w:rsidRDefault="00BD5974" w:rsidP="00BD59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D5974" w:rsidRPr="00B10048" w:rsidRDefault="00BD5974" w:rsidP="00BD597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D5974" w:rsidRPr="00B10048" w:rsidRDefault="00BD5974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17FB" w:rsidRPr="00B10048" w:rsidTr="00990D0F">
        <w:trPr>
          <w:trHeight w:val="465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217FB" w:rsidRPr="00BD5974" w:rsidRDefault="00BD5974" w:rsidP="00D217FB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D5974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Практ.</w:t>
            </w:r>
          </w:p>
          <w:p w:rsidR="00D217FB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="00D217FB" w:rsidRPr="00B10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 Рейтинг студентов.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.Мониторинг удовлетворённости студентов.</w:t>
            </w:r>
          </w:p>
        </w:tc>
        <w:tc>
          <w:tcPr>
            <w:tcW w:w="850" w:type="dxa"/>
            <w:shd w:val="clear" w:color="auto" w:fill="auto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3B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990D0F">
        <w:trPr>
          <w:trHeight w:val="664"/>
        </w:trPr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3. «Введение в социо-коммуникативную среду вуза»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lastRenderedPageBreak/>
              <w:t>3.4. Межличностное общение. Межкультурное взаимодействие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8F704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6950CC" w:rsidP="006950CC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0D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16C3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990D0F">
        <w:tc>
          <w:tcPr>
            <w:tcW w:w="496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21D" w:rsidRPr="00B10048" w:rsidTr="00990D0F">
        <w:tc>
          <w:tcPr>
            <w:tcW w:w="4962" w:type="dxa"/>
          </w:tcPr>
          <w:p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6721D" w:rsidRPr="00E802F6" w:rsidRDefault="00E802F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6721D" w:rsidRPr="00E802F6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802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6721D" w:rsidRPr="00C16C37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6721D" w:rsidRPr="00C16C37" w:rsidRDefault="006950CC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7429C" w:rsidRDefault="0097429C" w:rsidP="0097429C">
      <w:pPr>
        <w:pStyle w:val="a4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97C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A3C9C" w:rsidRDefault="001A3C9C" w:rsidP="001A3C9C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</w:t>
      </w:r>
      <w:r>
        <w:rPr>
          <w:rFonts w:ascii="Times New Roman" w:hAnsi="Times New Roman"/>
          <w:bCs/>
          <w:sz w:val="24"/>
          <w:szCs w:val="24"/>
        </w:rPr>
        <w:t>Стратегии личностно-профессионального развития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67CFB" w:rsidRPr="00E82F4C" w:rsidRDefault="00DB597C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124F8E" w:rsidRDefault="00124F8E" w:rsidP="00124F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семестр:</w:t>
      </w:r>
    </w:p>
    <w:tbl>
      <w:tblPr>
        <w:tblW w:w="104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134"/>
        <w:gridCol w:w="2409"/>
        <w:gridCol w:w="1410"/>
        <w:gridCol w:w="40"/>
        <w:gridCol w:w="1228"/>
        <w:gridCol w:w="993"/>
        <w:gridCol w:w="1417"/>
        <w:gridCol w:w="1180"/>
        <w:gridCol w:w="40"/>
      </w:tblGrid>
      <w:tr w:rsidR="00124F8E" w:rsidRPr="00B84532" w:rsidTr="00124F8E">
        <w:trPr>
          <w:gridAfter w:val="1"/>
          <w:wAfter w:w="40" w:type="dxa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6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6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1. Стратегии личностно-профессионального развития студентов в образовательной среде вуза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50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124F8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Выполнение практической работы «Проектирование </w:t>
            </w: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индивидуального учебного плана студента»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Практическое задание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2. Введение в электронную среду вуза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3002ED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124F8E" w:rsidRPr="00B84532" w:rsidTr="003002ED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1 семестра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124F8E" w:rsidRPr="00B84532" w:rsidTr="00E0563B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Промежуточный контроль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:rsidTr="00E0563B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 баллов за семестр: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:rsidR="00124F8E" w:rsidRPr="00B84532" w:rsidRDefault="00124F8E" w:rsidP="00124F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семестр:</w:t>
      </w:r>
    </w:p>
    <w:tbl>
      <w:tblPr>
        <w:tblW w:w="10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134"/>
        <w:gridCol w:w="2410"/>
        <w:gridCol w:w="1418"/>
        <w:gridCol w:w="1275"/>
        <w:gridCol w:w="993"/>
        <w:gridCol w:w="1275"/>
        <w:gridCol w:w="1276"/>
      </w:tblGrid>
      <w:tr w:rsidR="00A0071C" w:rsidRPr="00B84532" w:rsidTr="00A0071C">
        <w:tc>
          <w:tcPr>
            <w:tcW w:w="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DB597C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DB597C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3002E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A0071C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A0071C" w:rsidRPr="00B84532" w:rsidTr="00A0071C">
        <w:tc>
          <w:tcPr>
            <w:tcW w:w="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3. Введение в социо-коммуникативную среду вуза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теста по модулю 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4. Введение в проектную среду вуза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40-60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60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2 семестра</w:t>
            </w:r>
          </w:p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2 семестра</w:t>
            </w:r>
          </w:p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Учебное событие</w:t>
            </w:r>
          </w:p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«Ярмарка студенческих  проектов»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124F8E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Промежуточный</w:t>
            </w: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 контроль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 баллов за семестр: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:rsidR="00124F8E" w:rsidRPr="00F67CFB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8" w:history="1">
        <w:r w:rsidRPr="00B10048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http://biblioclub.ru/index.php?page=book&amp;id=443618</w:t>
        </w:r>
      </w:hyperlink>
      <w:r w:rsidRPr="00B10048">
        <w:rPr>
          <w:rFonts w:ascii="Times New Roman" w:hAnsi="Times New Roman" w:cs="Times New Roman"/>
          <w:sz w:val="24"/>
          <w:szCs w:val="24"/>
        </w:rPr>
        <w:t> (04.09.2017).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9" w:history="1">
        <w:r w:rsidRPr="00B10048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http://biblioclub.ru/index.php?page=book&amp;id=455510</w:t>
        </w:r>
      </w:hyperlink>
      <w:r w:rsidRPr="00B10048">
        <w:rPr>
          <w:rFonts w:ascii="Times New Roman" w:hAnsi="Times New Roman" w:cs="Times New Roman"/>
          <w:sz w:val="24"/>
          <w:szCs w:val="24"/>
        </w:rPr>
        <w:t> (04.09.2017).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A0071C" w:rsidRPr="00A0071C" w:rsidRDefault="00A41ED2" w:rsidP="00A4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10048"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  <w:r w:rsidRPr="00B10048">
        <w:rPr>
          <w:rFonts w:ascii="Times New Roman" w:hAnsi="Times New Roman"/>
          <w:sz w:val="24"/>
          <w:szCs w:val="24"/>
        </w:rPr>
        <w:br/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41ED2" w:rsidRPr="00B10048" w:rsidRDefault="00A41ED2" w:rsidP="00A41ED2">
      <w:pPr>
        <w:pStyle w:val="Default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10048">
        <w:rPr>
          <w:rFonts w:ascii="Times New Roman" w:hAnsi="Times New Roman" w:cs="Times New Roman"/>
        </w:rPr>
        <w:t xml:space="preserve">1. Видеокурс Богородской О.В. «Технологии рефлексивной деятельности» </w:t>
      </w:r>
      <w:r w:rsidRPr="00B10048">
        <w:rPr>
          <w:rFonts w:ascii="Times New Roman" w:hAnsi="Times New Roman" w:cs="Times New Roman"/>
          <w:lang w:val="en-US"/>
        </w:rPr>
        <w:t>URL</w:t>
      </w:r>
      <w:r w:rsidRPr="00B10048">
        <w:rPr>
          <w:rFonts w:ascii="Times New Roman" w:hAnsi="Times New Roman" w:cs="Times New Roman"/>
        </w:rPr>
        <w:t>: https://moodle.mininuniver.ru/course/view.php?id=3078&amp;section=8</w:t>
      </w:r>
    </w:p>
    <w:p w:rsidR="00A41ED2" w:rsidRPr="00B10048" w:rsidRDefault="00A41ED2" w:rsidP="00A41ED2">
      <w:pPr>
        <w:pStyle w:val="a4"/>
        <w:numPr>
          <w:ilvl w:val="0"/>
          <w:numId w:val="36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:rsidR="00A41ED2" w:rsidRPr="00B10048" w:rsidRDefault="00A41ED2" w:rsidP="00A41ED2">
      <w:pPr>
        <w:pStyle w:val="a4"/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lastRenderedPageBreak/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:rsidR="00A41ED2" w:rsidRPr="00B10048" w:rsidRDefault="00A41ED2" w:rsidP="00A41ED2">
      <w:pPr>
        <w:pStyle w:val="a4"/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A0071C" w:rsidRPr="00A0071C" w:rsidRDefault="00A0071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41E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41ED2" w:rsidRPr="00B10048" w:rsidRDefault="00A41ED2" w:rsidP="00A41ED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1E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www.fgosvo.ru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Сайт Мининского университета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41E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Координационные советы и Федеральные УМО</w:t>
            </w: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41ED2" w:rsidRPr="00B10048" w:rsidTr="00E0563B">
        <w:tc>
          <w:tcPr>
            <w:tcW w:w="3369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Вики сайт Мининского университета</w:t>
            </w:r>
          </w:p>
        </w:tc>
      </w:tr>
    </w:tbl>
    <w:p w:rsidR="00A41ED2" w:rsidRPr="00B10048" w:rsidRDefault="00A41ED2" w:rsidP="00A41ED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071C" w:rsidRPr="00A0071C" w:rsidRDefault="00A0071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Аппаратное: системный блок с частотой двухъядерного процессора не ниже 2700 MHz, оперативной памятью не менее 16 Гб, объёмом жёсткого диска не менее 320 Гб; </w:t>
      </w:r>
      <w:r w:rsidRPr="00B16DA1">
        <w:rPr>
          <w:rFonts w:ascii="Times New Roman" w:hAnsi="Times New Roman"/>
          <w:sz w:val="24"/>
          <w:szCs w:val="24"/>
        </w:rPr>
        <w:lastRenderedPageBreak/>
        <w:t>специализированный графический монитор с диагональю не менее 21 дюйм, блок бесперебойного питания, клавиатура, мышь.</w:t>
      </w:r>
    </w:p>
    <w:p w:rsidR="00A41ED2" w:rsidRPr="00A41ED2" w:rsidRDefault="00A41ED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734D5" w:rsidRPr="00603E4B" w:rsidRDefault="007734D5" w:rsidP="007734D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>«Стилизация в декоративной композиции»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41ED2" w:rsidRPr="00A41ED2" w:rsidRDefault="00A41ED2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A41ED2" w:rsidRPr="00A41ED2" w:rsidSect="00E0735D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63B" w:rsidRDefault="00E0563B" w:rsidP="00CA7167">
      <w:pPr>
        <w:spacing w:after="0" w:line="240" w:lineRule="auto"/>
      </w:pPr>
      <w:r>
        <w:separator/>
      </w:r>
    </w:p>
  </w:endnote>
  <w:endnote w:type="continuationSeparator" w:id="0">
    <w:p w:rsidR="00E0563B" w:rsidRDefault="00E0563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E0563B" w:rsidRDefault="00E0563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86C">
          <w:rPr>
            <w:noProof/>
          </w:rPr>
          <w:t>9</w:t>
        </w:r>
        <w:r>
          <w:fldChar w:fldCharType="end"/>
        </w:r>
      </w:p>
    </w:sdtContent>
  </w:sdt>
  <w:p w:rsidR="00E0563B" w:rsidRDefault="00E0563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63B" w:rsidRDefault="00E0563B">
    <w:pPr>
      <w:pStyle w:val="ae"/>
      <w:jc w:val="right"/>
    </w:pPr>
  </w:p>
  <w:p w:rsidR="00E0563B" w:rsidRDefault="00E0563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63B" w:rsidRDefault="00E0563B" w:rsidP="00CA7167">
      <w:pPr>
        <w:spacing w:after="0" w:line="240" w:lineRule="auto"/>
      </w:pPr>
      <w:r>
        <w:separator/>
      </w:r>
    </w:p>
  </w:footnote>
  <w:footnote w:type="continuationSeparator" w:id="0">
    <w:p w:rsidR="00E0563B" w:rsidRDefault="00E0563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5E68"/>
    <w:multiLevelType w:val="hybridMultilevel"/>
    <w:tmpl w:val="E15872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4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2"/>
  </w:num>
  <w:num w:numId="3">
    <w:abstractNumId w:val="10"/>
  </w:num>
  <w:num w:numId="4">
    <w:abstractNumId w:val="8"/>
  </w:num>
  <w:num w:numId="5">
    <w:abstractNumId w:val="29"/>
  </w:num>
  <w:num w:numId="6">
    <w:abstractNumId w:val="34"/>
  </w:num>
  <w:num w:numId="7">
    <w:abstractNumId w:val="13"/>
  </w:num>
  <w:num w:numId="8">
    <w:abstractNumId w:val="6"/>
  </w:num>
  <w:num w:numId="9">
    <w:abstractNumId w:val="37"/>
  </w:num>
  <w:num w:numId="10">
    <w:abstractNumId w:val="23"/>
  </w:num>
  <w:num w:numId="11">
    <w:abstractNumId w:val="11"/>
  </w:num>
  <w:num w:numId="12">
    <w:abstractNumId w:val="18"/>
  </w:num>
  <w:num w:numId="13">
    <w:abstractNumId w:val="16"/>
  </w:num>
  <w:num w:numId="14">
    <w:abstractNumId w:val="33"/>
  </w:num>
  <w:num w:numId="15">
    <w:abstractNumId w:val="9"/>
  </w:num>
  <w:num w:numId="16">
    <w:abstractNumId w:val="24"/>
  </w:num>
  <w:num w:numId="17">
    <w:abstractNumId w:val="4"/>
  </w:num>
  <w:num w:numId="18">
    <w:abstractNumId w:val="17"/>
  </w:num>
  <w:num w:numId="19">
    <w:abstractNumId w:val="19"/>
  </w:num>
  <w:num w:numId="20">
    <w:abstractNumId w:val="26"/>
  </w:num>
  <w:num w:numId="21">
    <w:abstractNumId w:val="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8"/>
  </w:num>
  <w:num w:numId="26">
    <w:abstractNumId w:val="12"/>
  </w:num>
  <w:num w:numId="27">
    <w:abstractNumId w:val="36"/>
  </w:num>
  <w:num w:numId="28">
    <w:abstractNumId w:val="1"/>
  </w:num>
  <w:num w:numId="29">
    <w:abstractNumId w:val="20"/>
  </w:num>
  <w:num w:numId="30">
    <w:abstractNumId w:val="31"/>
  </w:num>
  <w:num w:numId="31">
    <w:abstractNumId w:val="15"/>
  </w:num>
  <w:num w:numId="32">
    <w:abstractNumId w:val="21"/>
  </w:num>
  <w:num w:numId="33">
    <w:abstractNumId w:val="27"/>
  </w:num>
  <w:num w:numId="34">
    <w:abstractNumId w:val="5"/>
  </w:num>
  <w:num w:numId="35">
    <w:abstractNumId w:val="22"/>
  </w:num>
  <w:num w:numId="36">
    <w:abstractNumId w:val="2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724"/>
    <w:rsid w:val="0008386C"/>
    <w:rsid w:val="00085193"/>
    <w:rsid w:val="000A2B7F"/>
    <w:rsid w:val="000A7767"/>
    <w:rsid w:val="000B07DC"/>
    <w:rsid w:val="000E26C3"/>
    <w:rsid w:val="000F359C"/>
    <w:rsid w:val="000F605D"/>
    <w:rsid w:val="00120C16"/>
    <w:rsid w:val="00124F8E"/>
    <w:rsid w:val="001444E1"/>
    <w:rsid w:val="0014613F"/>
    <w:rsid w:val="0016010F"/>
    <w:rsid w:val="001869AC"/>
    <w:rsid w:val="00186A21"/>
    <w:rsid w:val="001A3634"/>
    <w:rsid w:val="001A3C9C"/>
    <w:rsid w:val="001B2564"/>
    <w:rsid w:val="001C4F99"/>
    <w:rsid w:val="001F37E8"/>
    <w:rsid w:val="0021244D"/>
    <w:rsid w:val="00212C27"/>
    <w:rsid w:val="0022609C"/>
    <w:rsid w:val="00242947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02ED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77515"/>
    <w:rsid w:val="00377D07"/>
    <w:rsid w:val="0039618F"/>
    <w:rsid w:val="00397F06"/>
    <w:rsid w:val="003A36FE"/>
    <w:rsid w:val="003A4747"/>
    <w:rsid w:val="003B56A1"/>
    <w:rsid w:val="003B6FB1"/>
    <w:rsid w:val="003C3305"/>
    <w:rsid w:val="003C53D2"/>
    <w:rsid w:val="003C656C"/>
    <w:rsid w:val="003D132B"/>
    <w:rsid w:val="003F1FE7"/>
    <w:rsid w:val="004038EE"/>
    <w:rsid w:val="0041524A"/>
    <w:rsid w:val="00442F3F"/>
    <w:rsid w:val="004551EE"/>
    <w:rsid w:val="00463B74"/>
    <w:rsid w:val="0046674F"/>
    <w:rsid w:val="00466E62"/>
    <w:rsid w:val="0048222B"/>
    <w:rsid w:val="00483B08"/>
    <w:rsid w:val="00487B77"/>
    <w:rsid w:val="00495C5E"/>
    <w:rsid w:val="004A65D7"/>
    <w:rsid w:val="004B2ECB"/>
    <w:rsid w:val="004D0B93"/>
    <w:rsid w:val="004D1D18"/>
    <w:rsid w:val="004D5381"/>
    <w:rsid w:val="004E13F8"/>
    <w:rsid w:val="004E4969"/>
    <w:rsid w:val="004F6BF2"/>
    <w:rsid w:val="00503E05"/>
    <w:rsid w:val="00507DED"/>
    <w:rsid w:val="00510D7C"/>
    <w:rsid w:val="00517C31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66C3C"/>
    <w:rsid w:val="00673EA3"/>
    <w:rsid w:val="006950CC"/>
    <w:rsid w:val="00695872"/>
    <w:rsid w:val="006B38F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55A63"/>
    <w:rsid w:val="0076486C"/>
    <w:rsid w:val="0076721D"/>
    <w:rsid w:val="00771F0D"/>
    <w:rsid w:val="007734D5"/>
    <w:rsid w:val="00783103"/>
    <w:rsid w:val="007B0205"/>
    <w:rsid w:val="007B1F62"/>
    <w:rsid w:val="007B2BEA"/>
    <w:rsid w:val="007B503A"/>
    <w:rsid w:val="007B68A8"/>
    <w:rsid w:val="007B6CE0"/>
    <w:rsid w:val="007D06F1"/>
    <w:rsid w:val="007E56C6"/>
    <w:rsid w:val="007E7AFB"/>
    <w:rsid w:val="007F33D5"/>
    <w:rsid w:val="00805023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8F7046"/>
    <w:rsid w:val="00900D7F"/>
    <w:rsid w:val="00916A16"/>
    <w:rsid w:val="00917867"/>
    <w:rsid w:val="00936E11"/>
    <w:rsid w:val="0093758B"/>
    <w:rsid w:val="00945DBB"/>
    <w:rsid w:val="00951284"/>
    <w:rsid w:val="009529DA"/>
    <w:rsid w:val="009633E5"/>
    <w:rsid w:val="009661C3"/>
    <w:rsid w:val="0097429C"/>
    <w:rsid w:val="00981269"/>
    <w:rsid w:val="0098333E"/>
    <w:rsid w:val="00990D0F"/>
    <w:rsid w:val="009D1D48"/>
    <w:rsid w:val="009F7ED5"/>
    <w:rsid w:val="00A0071C"/>
    <w:rsid w:val="00A1013E"/>
    <w:rsid w:val="00A16AFF"/>
    <w:rsid w:val="00A21116"/>
    <w:rsid w:val="00A24E06"/>
    <w:rsid w:val="00A26E41"/>
    <w:rsid w:val="00A329B6"/>
    <w:rsid w:val="00A374C1"/>
    <w:rsid w:val="00A41D66"/>
    <w:rsid w:val="00A41ED2"/>
    <w:rsid w:val="00A4300C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D5974"/>
    <w:rsid w:val="00BF24EF"/>
    <w:rsid w:val="00C12476"/>
    <w:rsid w:val="00C12AB6"/>
    <w:rsid w:val="00C16C37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0DE0"/>
    <w:rsid w:val="00CD3425"/>
    <w:rsid w:val="00CF15D1"/>
    <w:rsid w:val="00CF752F"/>
    <w:rsid w:val="00D135D6"/>
    <w:rsid w:val="00D16354"/>
    <w:rsid w:val="00D217FB"/>
    <w:rsid w:val="00D270C4"/>
    <w:rsid w:val="00D441B7"/>
    <w:rsid w:val="00D474ED"/>
    <w:rsid w:val="00D546EF"/>
    <w:rsid w:val="00D6125B"/>
    <w:rsid w:val="00D8032E"/>
    <w:rsid w:val="00D83CDC"/>
    <w:rsid w:val="00DA677D"/>
    <w:rsid w:val="00DB597C"/>
    <w:rsid w:val="00DE0C70"/>
    <w:rsid w:val="00DE0EDF"/>
    <w:rsid w:val="00E0563B"/>
    <w:rsid w:val="00E06916"/>
    <w:rsid w:val="00E0735D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02F6"/>
    <w:rsid w:val="00E82F4C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392D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453E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3ADC97F-63D9-48E1-A259-53114631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A41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6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5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B428-C8B8-4E87-93F8-88F0E90F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2019-08-23T13:39:00Z</cp:lastPrinted>
  <dcterms:created xsi:type="dcterms:W3CDTF">2021-09-15T20:52:00Z</dcterms:created>
  <dcterms:modified xsi:type="dcterms:W3CDTF">2021-09-15T20:52:00Z</dcterms:modified>
</cp:coreProperties>
</file>